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이마트, 복날 보양식 최대 반값 할인</w:t>
      </w:r>
    </w:p>
    <w:p>
      <w:pPr>
        <w:spacing w:after="160" w:line="320" w:lineRule="auto"/>
      </w:pPr>
      <w:r>
        <w:t xml:space="preserve">이마트가 여름 몸보신을 위한 다양한 행사를 진행하고 있다. 초복 당일인 7월 15일까지 민물장어, 활전복, 무항생제 두마리 영계 등 보양식을 최대 50% 할인한다.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먼저 이마트는 삼계탕 재료를 할인 판매한다. 500g 닭을 두마리 담은 ‘무항생제 두마리 영계(국내산)’은 행사카드로 결제시 40% 할인한 7,128원에 판매한다. 1kg 이상의 국내산 토종 닭을 백숙 재료와 함께 담은 ‘백숙용 토종닭’도 신세계 포인트 적립시 5천원 할인된 10,980원에 만나볼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※행사카드: 이마트e/삼성/KB국민/신한/현대/NH농협/우리/롯데/하나/전북KB국민BC/신한BC/NH농협BC/하나BC 제외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또한 해양수산부와 함께 ‘미역 먹고 자란 완도산 활전복’을 신세계 포인트 적립시 50% 할인해 판매한다. ‘온가족 손질 민물장어(700g/박스, 국산)’도 정상가 54,000원에서 반값으로 할인된 27,000원에 만나볼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이외에도 ‘녹두 삼계탕’, ‘능이 백숙’, ‘누룽지 삼계탕’ 등 간편하게 조리해 즐길 수 있는 완제품도 다양하게 준비했다.</w:t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