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안경의 신세계 보여준다...신세계百, 강남점서 메타글래스 팝업스토어 선보여</w:t>
      </w:r>
    </w:p>
    <w:p>
      <w:pPr>
        <w:spacing w:after="160" w:line="320" w:lineRule="auto"/>
      </w:pPr>
      <w:r>
        <w:t xml:space="preserve">안경의 신세계 보여준다...</w:t>
      </w:r>
    </w:p>
    <w:p>
      <w:pPr>
        <w:spacing w:after="160" w:line="320" w:lineRule="auto"/>
      </w:pPr>
      <w:r>
        <w:t xml:space="preserve">신세계百, 강남점서 메타글래스 팝업스토어 선보여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신세계백화점이 강남점 지하 1층에 메타글래스 팝업스토어를 개최한다.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메타는 페이스북, 인스타그램 등을 운영하고 있는 미국의 대표적인 IT기업으로, 안경 전문 브랜드 에실로 룩소티카와 협업해 스마트안경 '메타글래스'를 선보인다.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메타글래스는 통번역이 가능한 AI 어시스턴트를 비롯해 음성, 터치 컨트롤, SNS 연동 등의 기능을 갖추고 있으며, 선글래스 형태인 레이벤 버전과 스포츠 고글 형태인 오클리 버전으로 각각 출시했다.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7월 9일까지 펼쳐지는 메타글래스 팝업스토어에서는 레이벤 버전과 오클리 버전을 모두 만나볼 수 있으며, 자유롭게 체험해볼 수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대표 상품으로는 레이벤 메타 69만원, 오클리 메타 HSTN 72만원, 오클리 메타 밴가드 90만원 등이 있다. </w:t>
      </w:r>
    </w:p>
    <w:p>
      <w:pPr>
        <w:spacing w:after="160" w:line="320" w:lineRule="auto"/>
      </w:pPr>
      <w:r>
        <w:t xml:space="preserve"/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