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240" w:line="240" w:lineRule="auto"/>
        <w:ind w:left="-90" w:right="-90"/>
        <w:jc w:val="center"/>
        <w:rPr>
          <w:rFonts w:ascii="바탕" w:eastAsia="바탕" w:hAnsi="바탕" w:cs="굴림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b/>
          <w:bCs/>
          <w:color w:val="222222"/>
          <w:spacing w:val="-24"/>
          <w:kern w:val="0"/>
          <w:sz w:val="48"/>
          <w:szCs w:val="48"/>
        </w:rPr>
        <w:t>㈜신세계 전략적 투자 통했다.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240" w:line="240" w:lineRule="auto"/>
        <w:ind w:left="-90" w:right="-90"/>
        <w:jc w:val="center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b/>
          <w:bCs/>
          <w:color w:val="222222"/>
          <w:spacing w:val="-24"/>
          <w:kern w:val="0"/>
          <w:sz w:val="48"/>
          <w:szCs w:val="48"/>
        </w:rPr>
        <w:t>1분기 매출과 이익 모두 역대 최고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90" w:line="214" w:lineRule="atLeast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6"/>
          <w:szCs w:val="26"/>
        </w:rPr>
        <w:t xml:space="preserve">- 1분기 </w:t>
      </w:r>
      <w:proofErr w:type="spellStart"/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6"/>
          <w:szCs w:val="26"/>
        </w:rPr>
        <w:t>총매출</w:t>
      </w:r>
      <w:proofErr w:type="spellEnd"/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6"/>
          <w:szCs w:val="26"/>
        </w:rPr>
        <w:t xml:space="preserve"> 3조 2,144억(11.7%) · </w:t>
      </w:r>
      <w:proofErr w:type="spellStart"/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6"/>
          <w:szCs w:val="26"/>
        </w:rPr>
        <w:t>영업익</w:t>
      </w:r>
      <w:proofErr w:type="spellEnd"/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6"/>
          <w:szCs w:val="26"/>
        </w:rPr>
        <w:t xml:space="preserve"> 1,978억(49.5%) 최고치 기록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90" w:line="214" w:lineRule="atLeast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6"/>
          <w:szCs w:val="26"/>
        </w:rPr>
        <w:t xml:space="preserve">- 백화점, 전략적 투자 통한 본업 경쟁력 강화로 두 </w:t>
      </w:r>
      <w:proofErr w:type="spellStart"/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6"/>
          <w:szCs w:val="26"/>
        </w:rPr>
        <w:t>자릿</w:t>
      </w:r>
      <w:proofErr w:type="spellEnd"/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6"/>
          <w:szCs w:val="26"/>
        </w:rPr>
        <w:t xml:space="preserve"> 수 매출신장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90" w:line="214" w:lineRule="atLeast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6"/>
          <w:szCs w:val="26"/>
        </w:rPr>
        <w:t>- 자회사 체질 개선 노력으로 수익성 강화 및 미래 지속 성장 발판 마련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90" w:line="214" w:lineRule="atLeast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6"/>
          <w:szCs w:val="26"/>
        </w:rPr>
        <w:t>- ㈜신세계 첫 분기 배당 결정, 주주 및 기업가치 향상 위한 투자 지속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㈜신세계가 백화점 본업 경쟁력과 자회사 경영체질 개선을 바탕으로 </w:t>
      </w:r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4"/>
          <w:szCs w:val="24"/>
          <w:u w:val="single"/>
        </w:rPr>
        <w:t>외형과 수익성 모두 대폭 끌어올리며 1분기 역대 최대 실적을 달성</w:t>
      </w: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했다.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㈜신세계는 올 1분기, 연결 기준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총매출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3조 2,144억원(+11.7%) · 영업이익 1,978억원(+49.5%)를 기록했다.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고환율, 고유가 등 불안정한 대외 여건 속에서 </w:t>
      </w:r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4"/>
          <w:szCs w:val="24"/>
          <w:u w:val="single"/>
        </w:rPr>
        <w:t>본업 경쟁력 제고를 통한 성장 전략과 자회사의 과감한 경영체질 개선 노력이 결과로 증명</w:t>
      </w: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됐다.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백화점 사업은, 1분기 총 매출액 2조 257억원(+13.0%) · 영업이익은 전년 동기대비 331억원(+30.7%) 증가한 1,410억을 달성, 역대 최대 실적을 기록했다.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본업 경쟁력 강화를 위한 꾸준한 투자와 브랜드 포트폴리오 정비,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트렌디한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팝업스토어 유치 등을 통해 내국인은 물론 외국인 고객 매출도 크게 늘어나며 고신장을 이어갔다.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Cs w:val="20"/>
        </w:rPr>
        <w:t>※ 광주 · 대구 · 대전 등 별도 법인 합산 (신세계사이먼 운영 프리미엄 아울렛 실적 제외)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지난 2년간의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리뉴얼을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마무리한 신세계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강남점은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명품 · 미식 등 세계적인 수준의 콘텐츠를 선보이며 명실상부 국가대표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백화점임을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보여주고 있다.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lastRenderedPageBreak/>
        <w:t xml:space="preserve"> 신세계 본점은 ‘더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헤리티지’의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신규 개관과 함께 ‘더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리저브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’ · ‘디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에스테이트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’ 등 대대적인 투자로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강남점과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함께 국내 최고의 ‘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럭셔리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맨션’으로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거듭났다.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특히, K-콘텐츠에 대한 관심이 백화점으로 이어져 신세계 본점 외국인 고객 매출이 지난해 대비 140% 신장하는 등, 백화점 전체 외국인 매출액은 전년 대비 2배가량 늘며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연매출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1조원이 넘어설 것으로 기대된다.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센텀시티점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,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대구신세계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,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대전신세계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Art &amp; Science, 광주신세계 등도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출점한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모든 지역에서 1번점 자리를 지키며 백화점 사업의 외형은 물론 질적 성장에도 기여하고 있다.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신세계는 올해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대구신세계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전관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리뉴얼을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시작으로 각 점포별 ·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상권별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최적의 브랜드 라인업 · 차별화된 콘텐츠를 바탕으로 성장을 이어갈 계획이다.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4"/>
          <w:szCs w:val="24"/>
        </w:rPr>
        <w:t>■ 수익성 대폭 개선한 연결 자회사, 향후 성장성도 증명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연결 자회사의 수익성도 대폭 개선됐다. 경영체질 개선을 위한 포트폴리오 정비가 외형과 수익성을 동시에 끌어올리는 성과로 이어진 것이다.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먼저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신세계인터내셔날은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올 1분기 매출액 2,957억원(+15.7%) 영업이익 148억원(+452.6%)를 기록하며 외형과 수익성까지 동반 개선하며 패션과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코스메틱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전문화의 성과를 입증했다.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수입패션부문(+35.2%)과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수입코스메틱부문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(+20.0%)이 두 자리 수 이상 성장하며 외형 확대에 앞장섰으며 스튜디오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톰보이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·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일라일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·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맨온더분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등 자체 패션 브랜드도 ▲운영 효율화와 ▲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리브랜딩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효과에 힘입어 반등했다.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이와 함께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어뮤즈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· 연작 등 자체 브랜드의 해외 시장 확대와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피비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파일로 · CFCL ·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앙팡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리쉬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데프리메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등 신규 브랜드의 안정적인 성과를 바탕으로 외형과 수익성 개선에 더욱 힘쓸 예정이다.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lastRenderedPageBreak/>
        <w:t>신세계디에프는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매출액 5,898억원(+5.0%), 영업이익 106억원(+129억)을 기록, 흑자 전환했다.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인천국제공항 T2 임차료 감면 혜택 종료에 따른 임대료 증가에도 불구하고 ▲개별관광객(F.I.T)를 타깃으로 한 글로벌 체인과의 제휴 확대 ▲대량 판매 할인율 적극 개선 ▲경쟁력 있는 K-콘텐츠 도입 등 경영체질 개선을 통한 성과를 실현, 향후 면세 사업 내 경쟁력도 입증했다.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신세계디에프는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지난달 27일 인천국제공항 DF2 최종 철수를 완료하며 향후 실적 개선에 더욱 탄력을 받을 것으로 기대하고 있다.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신세계센트럴은 매출액 988억원(+11.4%) · 영업이익 260억원(+17.6%)을 기록하며 꾸준한 성장세를 이어갔다.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신세계까사는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매출액 1,114억원(+78.8%), 영업이익 13억원(+1,200%)을 기록했다.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자주(JAJU) 사업 양수로 매출액은 전년 대비 2배 가까이 늘었으며 영업이익은 두 자리 수를 달성, 향후 자주(JAJU) 사업 부문의 안정화를 통해 추가적인 성과 개선을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기대케했다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신세계라이브쇼핑은 매출액 898억원(+10.7%) · 영업이익 74억원(+29.8%)을 달성했다.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신세계맨즈컬렉션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,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블루핏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등 자체 브랜드의 약진과 함께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기라로쉬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,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시슬리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등의 프리미엄 패션 브랜드가 신세계라이브쇼핑만의 차별화된 경쟁력 제고에 기여, 내실 있는 성장으로 결실을 맺었다.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신세계라이브쇼핑은 앞으로도 ▲패션, 식품,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뷰티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카테고리 단독 상품 확대와 동시에, ▲ 신규 브랜드 글로벌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소싱과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모바일앱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확대 등에 매진하며 성장세를 이어갈 예정이다.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4"/>
          <w:szCs w:val="24"/>
        </w:rPr>
        <w:lastRenderedPageBreak/>
        <w:t>■ ㈜신세계, 첫 분기 배당 실시, 주주 및 기업 가치 제고 힘써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㈜신세계는 12일(화) 이사회를 열고 첫 분기 배당을 실시하기로 결의했다.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배당 기준일은 오는 29일(금)이며 총액은 약 114억원,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보통주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1주당 1,300원이 배당금으로 지급된다.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신세계는 분기 배당 도입으로 주주가치 제고에 힘쓰는 한편 주요 점포 </w:t>
      </w:r>
      <w:proofErr w:type="spellStart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리뉴얼</w:t>
      </w:r>
      <w:proofErr w:type="spellEnd"/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 xml:space="preserve"> 및 차별화된 콘텐츠를 통해 업계를 주도하는 압도적 지위를 견고히 하며 기업 가치 제고에도 적극 나설 예정이다.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4"/>
          <w:szCs w:val="24"/>
          <w:u w:val="single"/>
        </w:rPr>
        <w:t xml:space="preserve">㈜신세계 관계자는 “어려운 대외 여건 속에도 적극적인 경영체질 개선과 전략적인 투자를 바탕으로 외형은 물론 수익성까지 대폭 </w:t>
      </w:r>
      <w:proofErr w:type="spellStart"/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4"/>
          <w:szCs w:val="24"/>
          <w:u w:val="single"/>
        </w:rPr>
        <w:t>성장했다”며</w:t>
      </w:r>
      <w:proofErr w:type="spellEnd"/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4"/>
          <w:szCs w:val="24"/>
          <w:u w:val="single"/>
        </w:rPr>
        <w:t xml:space="preserve">“앞으로도 적극적인 </w:t>
      </w:r>
      <w:proofErr w:type="spellStart"/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4"/>
          <w:szCs w:val="24"/>
          <w:u w:val="single"/>
        </w:rPr>
        <w:t>주주환원</w:t>
      </w:r>
      <w:proofErr w:type="spellEnd"/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4"/>
          <w:szCs w:val="24"/>
          <w:u w:val="single"/>
        </w:rPr>
        <w:t xml:space="preserve"> 정책을 통해 주주가치를 제고하고 기업가치 향상을 위한 지속적인 투자와 체질 개선을 이어갈 </w:t>
      </w:r>
      <w:proofErr w:type="spellStart"/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4"/>
          <w:szCs w:val="24"/>
          <w:u w:val="single"/>
        </w:rPr>
        <w:t>것”이라고</w:t>
      </w:r>
      <w:proofErr w:type="spellEnd"/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4"/>
          <w:szCs w:val="24"/>
          <w:u w:val="single"/>
        </w:rPr>
        <w:t xml:space="preserve"> 말했다.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 w:val="24"/>
          <w:szCs w:val="24"/>
        </w:rPr>
        <w:t>[㈜신세계 2026년 1분기 실적]</w:t>
      </w:r>
    </w:p>
    <w:tbl>
      <w:tblPr>
        <w:tblW w:w="0" w:type="auto"/>
        <w:tblInd w:w="4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145"/>
        <w:gridCol w:w="2145"/>
        <w:gridCol w:w="2145"/>
      </w:tblGrid>
      <w:tr w:rsidR="00753EF8" w:rsidRPr="00753EF8" w:rsidTr="00753EF8">
        <w:trPr>
          <w:trHeight w:val="390"/>
        </w:trPr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center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  <w:szCs w:val="24"/>
              </w:rPr>
              <w:t>구 분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center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  <w:szCs w:val="24"/>
              </w:rPr>
              <w:t>2026 1Q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center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  <w:szCs w:val="24"/>
              </w:rPr>
              <w:t>2025 1Q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center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  <w:szCs w:val="24"/>
              </w:rPr>
              <w:t>증 감</w:t>
            </w:r>
          </w:p>
        </w:tc>
      </w:tr>
      <w:tr w:rsidR="00753EF8" w:rsidRPr="00753EF8" w:rsidTr="00753EF8">
        <w:trPr>
          <w:trHeight w:val="1185"/>
        </w:trPr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center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총 매 출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center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연 결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240" w:line="240" w:lineRule="auto"/>
              <w:ind w:right="150"/>
              <w:jc w:val="center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별 도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center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  <w:szCs w:val="24"/>
              </w:rPr>
              <w:t>* </w:t>
            </w:r>
            <w:proofErr w:type="spellStart"/>
            <w:r w:rsidRPr="00753EF8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  <w:szCs w:val="24"/>
              </w:rPr>
              <w:t>대전·대구·광주</w:t>
            </w:r>
            <w:proofErr w:type="spellEnd"/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center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  <w:szCs w:val="24"/>
              </w:rPr>
              <w:t>별도법인 포함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 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3조 2,144억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24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1조 4,833억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before="390" w:after="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  <w:szCs w:val="24"/>
                <w:shd w:val="clear" w:color="auto" w:fill="FFFF00"/>
              </w:rPr>
              <w:t>2조 257억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 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2조 8,780억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24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1조 3,003억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before="390" w:after="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  <w:szCs w:val="24"/>
                <w:shd w:val="clear" w:color="auto" w:fill="FFFF00"/>
              </w:rPr>
              <w:t>1조 7,919억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 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11.7%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24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14.1%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before="390" w:after="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  <w:szCs w:val="24"/>
                <w:shd w:val="clear" w:color="auto" w:fill="FFFF00"/>
              </w:rPr>
              <w:t>13.0%</w:t>
            </w:r>
          </w:p>
        </w:tc>
      </w:tr>
      <w:tr w:rsidR="00753EF8" w:rsidRPr="00753EF8" w:rsidTr="00753EF8">
        <w:trPr>
          <w:trHeight w:val="1185"/>
        </w:trPr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center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영업이익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center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연 결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240" w:line="240" w:lineRule="auto"/>
              <w:ind w:right="150"/>
              <w:jc w:val="center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별 도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center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  <w:szCs w:val="24"/>
              </w:rPr>
              <w:t>* </w:t>
            </w:r>
            <w:proofErr w:type="spellStart"/>
            <w:r w:rsidRPr="00753EF8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  <w:szCs w:val="24"/>
              </w:rPr>
              <w:t>대전·대구·광주</w:t>
            </w:r>
            <w:proofErr w:type="spellEnd"/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center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  <w:szCs w:val="24"/>
              </w:rPr>
              <w:t>별도법인 포함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 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1,978억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24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869억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before="390" w:after="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  <w:szCs w:val="24"/>
                <w:shd w:val="clear" w:color="auto" w:fill="FFFF00"/>
              </w:rPr>
              <w:t>1,410억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 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1,323억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24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643억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before="390" w:after="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  <w:szCs w:val="24"/>
                <w:shd w:val="clear" w:color="auto" w:fill="FFFF00"/>
              </w:rPr>
              <w:t>1,079억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 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+655억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after="24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+226억</w:t>
            </w:r>
          </w:p>
          <w:p w:rsidR="00753EF8" w:rsidRPr="00753EF8" w:rsidRDefault="00753EF8" w:rsidP="00753EF8">
            <w:pPr>
              <w:widowControl/>
              <w:wordWrap/>
              <w:autoSpaceDE/>
              <w:autoSpaceDN/>
              <w:spacing w:before="390" w:after="0" w:line="240" w:lineRule="auto"/>
              <w:ind w:right="150"/>
              <w:jc w:val="right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753EF8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  <w:szCs w:val="24"/>
              </w:rPr>
              <w:t>+331억</w:t>
            </w:r>
          </w:p>
        </w:tc>
      </w:tr>
    </w:tbl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b/>
          <w:bCs/>
          <w:color w:val="222222"/>
          <w:kern w:val="0"/>
          <w:szCs w:val="20"/>
        </w:rPr>
        <w:t>※ 관련 1분기 실적 상세 내용은 아래 링크로 참고 부탁드립니다.</w:t>
      </w:r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/>
        <w:rPr>
          <w:rFonts w:ascii="바탕" w:eastAsia="바탕" w:hAnsi="바탕" w:cs="굴림" w:hint="eastAsia"/>
          <w:color w:val="222222"/>
          <w:kern w:val="0"/>
          <w:szCs w:val="20"/>
        </w:rPr>
      </w:pPr>
      <w:hyperlink r:id="rId4" w:anchor="direct_move" w:tgtFrame="_blank" w:history="1">
        <w:r w:rsidRPr="00753EF8">
          <w:rPr>
            <w:rFonts w:ascii="맑은 고딕" w:eastAsia="맑은 고딕" w:hAnsi="맑은 고딕" w:cs="굴림" w:hint="eastAsia"/>
            <w:color w:val="0000FF"/>
            <w:kern w:val="0"/>
            <w:szCs w:val="20"/>
            <w:u w:val="single"/>
          </w:rPr>
          <w:t>http://www.shinsegae.com/company/ir-ko/ir.do#direct_move</w:t>
        </w:r>
      </w:hyperlink>
    </w:p>
    <w:p w:rsidR="00753EF8" w:rsidRPr="00753EF8" w:rsidRDefault="00753EF8" w:rsidP="00753EF8">
      <w:pPr>
        <w:widowControl/>
        <w:shd w:val="clear" w:color="auto" w:fill="FFFFFF"/>
        <w:wordWrap/>
        <w:autoSpaceDE/>
        <w:autoSpaceDN/>
        <w:spacing w:after="0" w:line="240" w:lineRule="auto"/>
        <w:ind w:right="150" w:firstLine="240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753EF8">
        <w:rPr>
          <w:rFonts w:ascii="맑은 고딕" w:eastAsia="맑은 고딕" w:hAnsi="맑은 고딕" w:cs="굴림" w:hint="eastAsia"/>
          <w:color w:val="222222"/>
          <w:kern w:val="0"/>
          <w:sz w:val="24"/>
          <w:szCs w:val="24"/>
        </w:rPr>
        <w:t> </w:t>
      </w:r>
    </w:p>
    <w:p w:rsidR="00C0738C" w:rsidRPr="00753EF8" w:rsidRDefault="00753EF8">
      <w:bookmarkStart w:id="0" w:name="_GoBack"/>
      <w:bookmarkEnd w:id="0"/>
    </w:p>
    <w:sectPr w:rsidR="00C0738C" w:rsidRPr="00753EF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F8"/>
    <w:rsid w:val="00753EF8"/>
    <w:rsid w:val="00767E31"/>
    <w:rsid w:val="00F2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D8B7A-4082-4749-B703-27926146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EF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53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insegae.com/company/ir-ko/ir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2026-05-13T00:22:00Z</dcterms:created>
  <dcterms:modified xsi:type="dcterms:W3CDTF">2026-05-13T00:22:00Z</dcterms:modified>
</cp:coreProperties>
</file>