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74B6" w14:textId="77777777" w:rsidR="00A33E6D" w:rsidRPr="00A33E6D" w:rsidRDefault="00A33E6D" w:rsidP="00A33E6D">
      <w:pPr>
        <w:widowControl/>
        <w:shd w:val="clear" w:color="auto" w:fill="FFFFFF"/>
        <w:wordWrap/>
        <w:autoSpaceDE/>
        <w:autoSpaceDN/>
        <w:spacing w:before="100" w:beforeAutospacing="1" w:after="150" w:line="214" w:lineRule="atLeast"/>
        <w:jc w:val="center"/>
        <w:rPr>
          <w:rFonts w:ascii="Noto Sans KR" w:eastAsia="Noto Sans KR" w:hAnsi="Noto Sans KR" w:cs="굴림"/>
          <w:color w:val="222222"/>
          <w:kern w:val="0"/>
          <w:sz w:val="20"/>
          <w:szCs w:val="20"/>
          <w14:ligatures w14:val="none"/>
        </w:rPr>
      </w:pPr>
      <w:r w:rsidRPr="00A33E6D">
        <w:rPr>
          <w:rFonts w:ascii="Noto Sans KR" w:eastAsia="Noto Sans KR" w:hAnsi="Noto Sans KR" w:cs="굴림" w:hint="eastAsia"/>
          <w:b/>
          <w:bCs/>
          <w:color w:val="222222"/>
          <w:kern w:val="0"/>
          <w:sz w:val="32"/>
          <w:szCs w:val="32"/>
          <w14:ligatures w14:val="none"/>
        </w:rPr>
        <w:t>“저출생 장기화에도 아동 소비는 역주행”</w:t>
      </w:r>
    </w:p>
    <w:p w14:paraId="04122DEE" w14:textId="77777777" w:rsidR="00A33E6D" w:rsidRPr="00A33E6D" w:rsidRDefault="00A33E6D" w:rsidP="00A33E6D">
      <w:pPr>
        <w:widowControl/>
        <w:shd w:val="clear" w:color="auto" w:fill="FFFFFF"/>
        <w:wordWrap/>
        <w:autoSpaceDE/>
        <w:autoSpaceDN/>
        <w:spacing w:before="100" w:beforeAutospacing="1" w:after="150" w:line="214" w:lineRule="atLeast"/>
        <w:jc w:val="center"/>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36"/>
          <w:szCs w:val="36"/>
          <w14:ligatures w14:val="none"/>
        </w:rPr>
        <w:t>신세계百, 신학기 맞이 ‘뉴 챕터, 뉴 룩 페어’ 열어</w:t>
      </w:r>
    </w:p>
    <w:p w14:paraId="4878C5B3" w14:textId="77777777" w:rsidR="00A33E6D" w:rsidRPr="00A33E6D" w:rsidRDefault="00A33E6D" w:rsidP="00A33E6D">
      <w:pPr>
        <w:widowControl/>
        <w:shd w:val="clear" w:color="auto" w:fill="FFFFFF"/>
        <w:wordWrap/>
        <w:autoSpaceDE/>
        <w:autoSpaceDN/>
        <w:spacing w:before="100" w:beforeAutospacing="1" w:after="150"/>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6"/>
          <w:szCs w:val="26"/>
          <w14:ligatures w14:val="none"/>
        </w:rPr>
        <w:t>- 22일까지 신세계百 ‘뉴 챕터, 뉴 룩 페어’.. 50개 브랜드 최대 40% 할인</w:t>
      </w:r>
    </w:p>
    <w:p w14:paraId="5C452D61" w14:textId="77777777" w:rsidR="00A33E6D" w:rsidRPr="00A33E6D" w:rsidRDefault="00A33E6D" w:rsidP="00A33E6D">
      <w:pPr>
        <w:widowControl/>
        <w:shd w:val="clear" w:color="auto" w:fill="FFFFFF"/>
        <w:wordWrap/>
        <w:autoSpaceDE/>
        <w:autoSpaceDN/>
        <w:spacing w:before="100" w:beforeAutospacing="1" w:after="150"/>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6"/>
          <w:szCs w:val="26"/>
          <w14:ligatures w14:val="none"/>
        </w:rPr>
        <w:t>- 초등학교 입학 ‘30만명’ 밑돌 전망에도 집중 투자.. 아동 매출 15.6%↑</w:t>
      </w:r>
    </w:p>
    <w:p w14:paraId="64EADBC5" w14:textId="77777777" w:rsidR="00A33E6D" w:rsidRPr="00A33E6D" w:rsidRDefault="00A33E6D" w:rsidP="00A33E6D">
      <w:pPr>
        <w:widowControl/>
        <w:shd w:val="clear" w:color="auto" w:fill="FFFFFF"/>
        <w:wordWrap/>
        <w:autoSpaceDE/>
        <w:autoSpaceDN/>
        <w:spacing w:before="100" w:beforeAutospacing="1" w:after="150"/>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6"/>
          <w:szCs w:val="26"/>
          <w14:ligatures w14:val="none"/>
        </w:rPr>
        <w:t>- MZ맘 겨냥한 인기 아동 브랜드 팝업 확대... 구매 사은 혜택도 풍성</w:t>
      </w:r>
    </w:p>
    <w:p w14:paraId="20FE063C"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4C41F454"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신세계백화점이 6일부터 22일까지 전국 13개 전 점포에서 신학기 맞이 ‘뉴 챕터, 뉴 룩 페어(New Chapter, New Look Fair)’를 연다. 3월 입학, 개학 시즌을 앞두고 아동 의류와 가방, 신발, 문구류 등 신학기 필수 상품을 중심으로 최대 40% 할인 행사와 브랜드 팝업, 사은 행사를 진행한다.</w:t>
      </w:r>
    </w:p>
    <w:p w14:paraId="19470DC3"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55E7C41C"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행사 기간 중 MLB키즈, 캉골키즈, 내셔널지오그래픽 키즈, 블랙야크 키즈 등 국내외 인기 아동 · 스포츠 브랜드 50여개가 참여해 의류와 책가방, 운동화 등을 합리적인 가격에 선보인다. 신학기 수요가 집중되는 핵심 품목을 중심으로 실속형 상품부터 프리미엄 라인까지 폭넓게 구성한 것이 특징이다.</w:t>
      </w:r>
    </w:p>
    <w:p w14:paraId="375B50F2"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4"/>
          <w14:ligatures w14:val="none"/>
        </w:rPr>
        <w:t> </w:t>
      </w:r>
    </w:p>
    <w:p w14:paraId="453D2789"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4"/>
          <w14:ligatures w14:val="none"/>
        </w:rPr>
        <w:t>■ 초등학교 입학생 감소에도… 아동 소비는 ‘역주행’</w:t>
      </w:r>
    </w:p>
    <w:p w14:paraId="56228185"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04CFA17D"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xml:space="preserve">저출생 기조가 장기화되고 있음에도 불구하고, 자녀를 위한 소비는 오히려 확대되고 있는 것으로 나타났다. 초등학교 1학년 입학생 수는 2023년 40만 1천여 명에서 </w:t>
      </w:r>
      <w:r w:rsidRPr="00A33E6D">
        <w:rPr>
          <w:rFonts w:ascii="Noto Sans KR" w:eastAsia="Noto Sans KR" w:hAnsi="Noto Sans KR" w:cs="굴림" w:hint="eastAsia"/>
          <w:color w:val="222222"/>
          <w:kern w:val="0"/>
          <w:sz w:val="24"/>
          <w14:ligatures w14:val="none"/>
        </w:rPr>
        <w:lastRenderedPageBreak/>
        <w:t>2025년 32만 4천여명 수준으로 약 20% 가까이 감소했다. 서울 지역 역시 같은 기간 6만 6천여명에서 5만 4천여명 수준으로 줄어들었다.</w:t>
      </w:r>
    </w:p>
    <w:p w14:paraId="2C72E78B"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4F297CA3"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이처럼 입학생 수는 감소하고 있지만, 백화점 아동 장르의 소비는 반대 흐름을 보이고 있다. 최근 3년간 신학기를 앞둔 2~3월 기준 신세계백화점 아동 장르(신생아 제외) 매출은 2023년 14.5%에서 2025년 15.6%까지 꾸준히 증가세를 보이고 있으며, 같은 기간 객단가 역시 6.4%에서 8.6%까지 올라섰다.</w:t>
      </w:r>
    </w:p>
    <w:p w14:paraId="059F5B73"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Cs w:val="22"/>
          <w14:ligatures w14:val="none"/>
        </w:rPr>
        <w:t> </w:t>
      </w:r>
    </w:p>
    <w:p w14:paraId="4D840346"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Cs w:val="22"/>
          <w14:ligatures w14:val="none"/>
        </w:rPr>
        <w:t>[연도별 초등학교 입학생수 · 신세계백화점 아동장르 신장률]</w:t>
      </w:r>
    </w:p>
    <w:tbl>
      <w:tblPr>
        <w:tblW w:w="9030" w:type="dxa"/>
        <w:shd w:val="clear" w:color="auto" w:fill="FFFFFF"/>
        <w:tblCellMar>
          <w:left w:w="0" w:type="dxa"/>
          <w:right w:w="0" w:type="dxa"/>
        </w:tblCellMar>
        <w:tblLook w:val="04A0" w:firstRow="1" w:lastRow="0" w:firstColumn="1" w:lastColumn="0" w:noHBand="0" w:noVBand="1"/>
      </w:tblPr>
      <w:tblGrid>
        <w:gridCol w:w="1548"/>
        <w:gridCol w:w="1578"/>
        <w:gridCol w:w="1968"/>
        <w:gridCol w:w="1968"/>
        <w:gridCol w:w="1968"/>
      </w:tblGrid>
      <w:tr w:rsidR="00A33E6D" w:rsidRPr="00A33E6D" w14:paraId="533A75DB" w14:textId="77777777">
        <w:trPr>
          <w:trHeight w:val="450"/>
        </w:trPr>
        <w:tc>
          <w:tcPr>
            <w:tcW w:w="312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5" w:type="dxa"/>
              <w:bottom w:w="0" w:type="dxa"/>
              <w:right w:w="105" w:type="dxa"/>
            </w:tcMar>
            <w:hideMark/>
          </w:tcPr>
          <w:p w14:paraId="5C7E6C9E"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b/>
                <w:bCs/>
                <w:kern w:val="0"/>
                <w:szCs w:val="22"/>
                <w14:ligatures w14:val="none"/>
              </w:rPr>
              <w:t>구분</w:t>
            </w:r>
          </w:p>
        </w:tc>
        <w:tc>
          <w:tcPr>
            <w:tcW w:w="1965" w:type="dxa"/>
            <w:tcBorders>
              <w:top w:val="single" w:sz="6" w:space="0" w:color="000000"/>
              <w:left w:val="nil"/>
              <w:bottom w:val="single" w:sz="6" w:space="0" w:color="000000"/>
              <w:right w:val="single" w:sz="6" w:space="0" w:color="000000"/>
            </w:tcBorders>
            <w:shd w:val="clear" w:color="auto" w:fill="F2F2F2"/>
            <w:tcMar>
              <w:top w:w="0" w:type="dxa"/>
              <w:left w:w="105" w:type="dxa"/>
              <w:bottom w:w="0" w:type="dxa"/>
              <w:right w:w="105" w:type="dxa"/>
            </w:tcMar>
            <w:hideMark/>
          </w:tcPr>
          <w:p w14:paraId="7919E195"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b/>
                <w:bCs/>
                <w:kern w:val="0"/>
                <w:szCs w:val="22"/>
                <w14:ligatures w14:val="none"/>
              </w:rPr>
              <w:t>23년</w:t>
            </w:r>
          </w:p>
        </w:tc>
        <w:tc>
          <w:tcPr>
            <w:tcW w:w="1965" w:type="dxa"/>
            <w:tcBorders>
              <w:top w:val="single" w:sz="6" w:space="0" w:color="000000"/>
              <w:left w:val="nil"/>
              <w:bottom w:val="single" w:sz="6" w:space="0" w:color="000000"/>
              <w:right w:val="single" w:sz="6" w:space="0" w:color="000000"/>
            </w:tcBorders>
            <w:shd w:val="clear" w:color="auto" w:fill="F2F2F2"/>
            <w:tcMar>
              <w:top w:w="0" w:type="dxa"/>
              <w:left w:w="105" w:type="dxa"/>
              <w:bottom w:w="0" w:type="dxa"/>
              <w:right w:w="105" w:type="dxa"/>
            </w:tcMar>
            <w:hideMark/>
          </w:tcPr>
          <w:p w14:paraId="70EFF874"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b/>
                <w:bCs/>
                <w:kern w:val="0"/>
                <w:szCs w:val="22"/>
                <w14:ligatures w14:val="none"/>
              </w:rPr>
              <w:t>24년</w:t>
            </w:r>
          </w:p>
        </w:tc>
        <w:tc>
          <w:tcPr>
            <w:tcW w:w="1965" w:type="dxa"/>
            <w:tcBorders>
              <w:top w:val="single" w:sz="6" w:space="0" w:color="000000"/>
              <w:left w:val="nil"/>
              <w:bottom w:val="single" w:sz="6" w:space="0" w:color="000000"/>
              <w:right w:val="single" w:sz="6" w:space="0" w:color="000000"/>
            </w:tcBorders>
            <w:shd w:val="clear" w:color="auto" w:fill="F2F2F2"/>
            <w:tcMar>
              <w:top w:w="0" w:type="dxa"/>
              <w:left w:w="105" w:type="dxa"/>
              <w:bottom w:w="0" w:type="dxa"/>
              <w:right w:w="105" w:type="dxa"/>
            </w:tcMar>
            <w:hideMark/>
          </w:tcPr>
          <w:p w14:paraId="411B6690"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b/>
                <w:bCs/>
                <w:kern w:val="0"/>
                <w:szCs w:val="22"/>
                <w14:ligatures w14:val="none"/>
              </w:rPr>
              <w:t>25년</w:t>
            </w:r>
          </w:p>
        </w:tc>
      </w:tr>
      <w:tr w:rsidR="00A33E6D" w:rsidRPr="00A33E6D" w14:paraId="02DCCB15" w14:textId="77777777">
        <w:trPr>
          <w:trHeight w:val="435"/>
        </w:trPr>
        <w:tc>
          <w:tcPr>
            <w:tcW w:w="154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C840B5"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입학생수</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6713AF"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전국</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6ACF55"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401,752명</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A0B08B"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353,713명</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A194F8"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324,040명</w:t>
            </w:r>
          </w:p>
        </w:tc>
      </w:tr>
      <w:tr w:rsidR="00A33E6D" w:rsidRPr="00A33E6D" w14:paraId="525DEB9E" w14:textId="77777777">
        <w:trPr>
          <w:trHeight w:val="16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6B67A810" w14:textId="77777777" w:rsidR="00A33E6D" w:rsidRPr="00A33E6D" w:rsidRDefault="00A33E6D" w:rsidP="00A33E6D">
            <w:pPr>
              <w:widowControl/>
              <w:wordWrap/>
              <w:autoSpaceDE/>
              <w:autoSpaceDN/>
              <w:spacing w:after="0"/>
              <w:rPr>
                <w:rFonts w:ascii="Noto Sans KR" w:eastAsia="Noto Sans KR" w:hAnsi="Noto Sans KR" w:cs="굴림"/>
                <w:kern w:val="0"/>
                <w:sz w:val="20"/>
                <w:szCs w:val="20"/>
                <w14:ligatures w14:val="none"/>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A759F1"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서울지역</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321AC9"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66,324명</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3A7F9E"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59,492명</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3E9EC6"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53,956명</w:t>
            </w:r>
          </w:p>
        </w:tc>
      </w:tr>
      <w:tr w:rsidR="00A33E6D" w:rsidRPr="00A33E6D" w14:paraId="776AACF5" w14:textId="77777777">
        <w:trPr>
          <w:trHeight w:val="450"/>
        </w:trPr>
        <w:tc>
          <w:tcPr>
            <w:tcW w:w="1545"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24F67E"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신세계百</w:t>
            </w:r>
          </w:p>
          <w:p w14:paraId="3D1147C5"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아동장르</w:t>
            </w: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FB1E1E"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매출</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BF3EA9"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14.5%</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D3CA76"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14.9%</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0AEE75"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15.6%</w:t>
            </w:r>
          </w:p>
        </w:tc>
      </w:tr>
      <w:tr w:rsidR="00A33E6D" w:rsidRPr="00A33E6D" w14:paraId="5173E6C7" w14:textId="77777777">
        <w:trPr>
          <w:trHeight w:val="16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527A2485" w14:textId="77777777" w:rsidR="00A33E6D" w:rsidRPr="00A33E6D" w:rsidRDefault="00A33E6D" w:rsidP="00A33E6D">
            <w:pPr>
              <w:widowControl/>
              <w:wordWrap/>
              <w:autoSpaceDE/>
              <w:autoSpaceDN/>
              <w:spacing w:after="0"/>
              <w:rPr>
                <w:rFonts w:ascii="Noto Sans KR" w:eastAsia="Noto Sans KR" w:hAnsi="Noto Sans KR" w:cs="굴림"/>
                <w:kern w:val="0"/>
                <w:sz w:val="20"/>
                <w:szCs w:val="20"/>
                <w14:ligatures w14:val="none"/>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D7E35A"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객단가</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39AFCA"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6.4%</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19A5CA"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7.7%</w:t>
            </w:r>
          </w:p>
        </w:tc>
        <w:tc>
          <w:tcPr>
            <w:tcW w:w="19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F9DBDA" w14:textId="77777777" w:rsidR="00A33E6D" w:rsidRPr="00A33E6D" w:rsidRDefault="00A33E6D" w:rsidP="00A33E6D">
            <w:pPr>
              <w:widowControl/>
              <w:wordWrap/>
              <w:autoSpaceDE/>
              <w:autoSpaceDN/>
              <w:spacing w:before="100" w:beforeAutospacing="1" w:after="100" w:afterAutospacing="1"/>
              <w:jc w:val="center"/>
              <w:rPr>
                <w:rFonts w:ascii="Noto Sans KR" w:eastAsia="Noto Sans KR" w:hAnsi="Noto Sans KR" w:cs="굴림" w:hint="eastAsia"/>
                <w:kern w:val="0"/>
                <w:sz w:val="20"/>
                <w:szCs w:val="20"/>
                <w14:ligatures w14:val="none"/>
              </w:rPr>
            </w:pPr>
            <w:r w:rsidRPr="00A33E6D">
              <w:rPr>
                <w:rFonts w:ascii="Noto Sans KR" w:eastAsia="Noto Sans KR" w:hAnsi="Noto Sans KR" w:cs="굴림" w:hint="eastAsia"/>
                <w:kern w:val="0"/>
                <w:szCs w:val="22"/>
                <w14:ligatures w14:val="none"/>
              </w:rPr>
              <w:t>8.6%</w:t>
            </w:r>
          </w:p>
        </w:tc>
      </w:tr>
    </w:tbl>
    <w:p w14:paraId="6669540C"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Cs w:val="22"/>
          <w14:ligatures w14:val="none"/>
        </w:rPr>
        <w:t>※출처 : 교육부, 서울시교육청, 신세계백화점(2~3월, 전년동기대비, 아동장르, 신생아제외)</w:t>
      </w:r>
    </w:p>
    <w:p w14:paraId="71CA3343" w14:textId="77777777" w:rsidR="00A33E6D" w:rsidRPr="00A33E6D" w:rsidRDefault="00A33E6D" w:rsidP="00A33E6D">
      <w:pPr>
        <w:widowControl/>
        <w:shd w:val="clear" w:color="auto" w:fill="FFFFFF"/>
        <w:wordWrap/>
        <w:autoSpaceDE/>
        <w:autoSpaceDN/>
        <w:spacing w:before="100" w:beforeAutospacing="1" w:after="150" w:line="214" w:lineRule="atLeast"/>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Cs w:val="22"/>
          <w14:ligatures w14:val="none"/>
        </w:rPr>
        <w:t>※26년도 전국 초등학교 입학생수(전망) : 29만 8,178명</w:t>
      </w:r>
    </w:p>
    <w:p w14:paraId="751D888C"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090C62C4"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아이 수는 줄어들었지만, 한 명의 자녀를 위해 더 좋은 상품과 브랜드를 선택하려는 ‘집중 투자형 소비’가 반영된 결과로 풀이된다.</w:t>
      </w:r>
    </w:p>
    <w:p w14:paraId="3B35AF14"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158A5CBF"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b/>
          <w:bCs/>
          <w:color w:val="222222"/>
          <w:kern w:val="0"/>
          <w:sz w:val="24"/>
          <w14:ligatures w14:val="none"/>
        </w:rPr>
        <w:t>■ MZ 부모 겨냥 신학기 행사 맞이 인기 팝업, 프로모션 혜택 확대</w:t>
      </w:r>
    </w:p>
    <w:p w14:paraId="7814D3FD"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5215917C"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lastRenderedPageBreak/>
        <w:t>신세계백화점은 이러한 소비 흐름에 맞춰 이번 신학기 행사에서 인기 아동 브랜드 팝업을 대폭 확대하고, 구매 혜택 역시 강화한다.</w:t>
      </w:r>
    </w:p>
    <w:p w14:paraId="207B3690"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31E8F719"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신세계는 최근 독특한 디자인과 세계관, SNS 친화적인 요소를 앞세운 아동 브랜드들이 MZ세대 부모를 중심으로 빠르게 팬덤을 형성하고 있는 트렌드에 발맞춰, 점포별로 인기 브랜드 팝업스토어를 확대 운영하고, 신학기 시즌 한정 상품과 단독 구성 제품을 선보인다.</w:t>
      </w:r>
    </w:p>
    <w:p w14:paraId="515C4A2E"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5C96A738"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강남점 10층에서는 스트리트 캐주얼 브랜드 ‘마르디메크르디’의 아동 라인인 ‘마르디메크르디 레쁘띠’ 팝업, 8층에서는 아웃도어 브랜드 ‘디스커버리’와 ‘내셔널지오그래픽’이 참여하는 신학기 백팩 팝업을 연다. 센텀시티점 6층에서는 SNS 팔로워 10만 명 이상을 보유한 유아동 니트 브랜드 ‘메론스위치’, 대구점 7층에서는 인기 주니어 패션 브랜드 ‘스쿨더키퍼스’ 팝업을 지역 상권 최초로 선보인다.</w:t>
      </w:r>
    </w:p>
    <w:p w14:paraId="1A99E763"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1D4E84DA"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구매 혜택도 풍성하게 마련했다. 행사 기간 중 신세계백화점 앱(APP) 푸시 알림 수신 고객에게는 아동 브랜드 매장에서 즉시 사용할 수 있는 1만 5천원 금액 할인 쿠폰을 증정한다. 또 19일부터 22일까지 4일간 신세계 제휴카드(씨티/삼성/신한/하나/BC바로)로 명품, 패션, 잡화 단일 브랜드에서 당일 200/300/500/1,000만원 이상 구매 시, 최대 7%를 신백 리워드로 돌려준다.</w:t>
      </w:r>
    </w:p>
    <w:p w14:paraId="684B6866"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2FF0FCA7"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신학기 맞이 인기 브랜드 상품도 다양하게 만나볼 수 있다. 대표 상품으로는 리틀그라운드 ‘룰라비 스프링 플라워 스쿨백 세트’(26만 6천원), 캉골키즈 ‘조세 백팩 세트’(20만 9천원), 뉴발란스키즈 ‘2010 시리즈’ 운동화(14만 9천원), 토박스 ‘다이노솔즈 데저트 스피노’ 운동화(7만 9천원) 등이 있다.</w:t>
      </w:r>
    </w:p>
    <w:p w14:paraId="4B196636"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lastRenderedPageBreak/>
        <w:t> </w:t>
      </w:r>
    </w:p>
    <w:p w14:paraId="287313C3"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이외에 신세계백화점 이커머스 플랫폼 ‘비욘드 신세계’에서도 인기 아동 브랜드의 신학기 스쿨룩 상품과 온라인 전용 혜택을 함께 선보인다.</w:t>
      </w:r>
    </w:p>
    <w:p w14:paraId="61C9FA20"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 </w:t>
      </w:r>
    </w:p>
    <w:p w14:paraId="1C8D991C" w14:textId="77777777" w:rsidR="00A33E6D" w:rsidRPr="00A33E6D" w:rsidRDefault="00A33E6D" w:rsidP="00A33E6D">
      <w:pPr>
        <w:widowControl/>
        <w:shd w:val="clear" w:color="auto" w:fill="FFFFFF"/>
        <w:wordWrap/>
        <w:autoSpaceDE/>
        <w:autoSpaceDN/>
        <w:spacing w:before="100" w:beforeAutospacing="1" w:after="150" w:line="214" w:lineRule="atLeast"/>
        <w:ind w:firstLine="240"/>
        <w:jc w:val="both"/>
        <w:rPr>
          <w:rFonts w:ascii="Noto Sans KR" w:eastAsia="Noto Sans KR" w:hAnsi="Noto Sans KR" w:cs="굴림" w:hint="eastAsia"/>
          <w:color w:val="222222"/>
          <w:kern w:val="0"/>
          <w:sz w:val="20"/>
          <w:szCs w:val="20"/>
          <w14:ligatures w14:val="none"/>
        </w:rPr>
      </w:pPr>
      <w:r w:rsidRPr="00A33E6D">
        <w:rPr>
          <w:rFonts w:ascii="Noto Sans KR" w:eastAsia="Noto Sans KR" w:hAnsi="Noto Sans KR" w:cs="굴림" w:hint="eastAsia"/>
          <w:color w:val="222222"/>
          <w:kern w:val="0"/>
          <w:sz w:val="24"/>
          <w14:ligatures w14:val="none"/>
        </w:rPr>
        <w:t>신세계백화점 영업전략담당 이성환 상무는 “저출생으로 자녀 수는 줄었지만, 한 명의 자녀에게 더 좋은 것을 해주려는 소비 성향은 오히려 강화되고 있다”며 “이번 ‘뉴 챕터, 뉴 룩 페어’를 통해 신학기를 준비하는 고객들이 상품과 혜택을 함께 체감할 수 있도록 준비했다. 앞으로도 변화하는 소비 트렌드에 맞춰 고객이 원하는 상품과 프로모션을 지속적으로 강화해 나갈 것”이라고 말했다.</w:t>
      </w:r>
    </w:p>
    <w:p w14:paraId="5678BDA7"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Noto Sans KR">
    <w:panose1 w:val="020B0200000000000000"/>
    <w:charset w:val="81"/>
    <w:family w:val="modern"/>
    <w:pitch w:val="variable"/>
    <w:sig w:usb0="30000287" w:usb1="2BDF3C10" w:usb2="00000016" w:usb3="00000000" w:csb0="002E0107"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6D"/>
    <w:rsid w:val="003A3CF1"/>
    <w:rsid w:val="004B3AC5"/>
    <w:rsid w:val="005837B5"/>
    <w:rsid w:val="00841039"/>
    <w:rsid w:val="00984A76"/>
    <w:rsid w:val="00A33E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48F7"/>
  <w15:chartTrackingRefBased/>
  <w15:docId w15:val="{DF05E245-95A6-4399-ACA7-C7A4C716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33E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33E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33E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33E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33E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33E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33E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33E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33E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33E6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33E6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33E6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A33E6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33E6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33E6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33E6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33E6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33E6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33E6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33E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3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33E6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33E6D"/>
    <w:pPr>
      <w:spacing w:before="160"/>
      <w:jc w:val="center"/>
    </w:pPr>
    <w:rPr>
      <w:i/>
      <w:iCs/>
      <w:color w:val="404040" w:themeColor="text1" w:themeTint="BF"/>
    </w:rPr>
  </w:style>
  <w:style w:type="character" w:customStyle="1" w:styleId="Char1">
    <w:name w:val="인용 Char"/>
    <w:basedOn w:val="a0"/>
    <w:link w:val="a5"/>
    <w:uiPriority w:val="29"/>
    <w:rsid w:val="00A33E6D"/>
    <w:rPr>
      <w:i/>
      <w:iCs/>
      <w:color w:val="404040" w:themeColor="text1" w:themeTint="BF"/>
    </w:rPr>
  </w:style>
  <w:style w:type="paragraph" w:styleId="a6">
    <w:name w:val="List Paragraph"/>
    <w:basedOn w:val="a"/>
    <w:uiPriority w:val="34"/>
    <w:qFormat/>
    <w:rsid w:val="00A33E6D"/>
    <w:pPr>
      <w:ind w:left="720"/>
      <w:contextualSpacing/>
    </w:pPr>
  </w:style>
  <w:style w:type="character" w:styleId="a7">
    <w:name w:val="Intense Emphasis"/>
    <w:basedOn w:val="a0"/>
    <w:uiPriority w:val="21"/>
    <w:qFormat/>
    <w:rsid w:val="00A33E6D"/>
    <w:rPr>
      <w:i/>
      <w:iCs/>
      <w:color w:val="2E74B5" w:themeColor="accent1" w:themeShade="BF"/>
    </w:rPr>
  </w:style>
  <w:style w:type="paragraph" w:styleId="a8">
    <w:name w:val="Intense Quote"/>
    <w:basedOn w:val="a"/>
    <w:next w:val="a"/>
    <w:link w:val="Char2"/>
    <w:uiPriority w:val="30"/>
    <w:qFormat/>
    <w:rsid w:val="00A33E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A33E6D"/>
    <w:rPr>
      <w:i/>
      <w:iCs/>
      <w:color w:val="2E74B5" w:themeColor="accent1" w:themeShade="BF"/>
    </w:rPr>
  </w:style>
  <w:style w:type="character" w:styleId="a9">
    <w:name w:val="Intense Reference"/>
    <w:basedOn w:val="a0"/>
    <w:uiPriority w:val="32"/>
    <w:qFormat/>
    <w:rsid w:val="00A33E6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2026-02-05T00:13:00Z</dcterms:created>
  <dcterms:modified xsi:type="dcterms:W3CDTF">2026-02-05T00:14:00Z</dcterms:modified>
</cp:coreProperties>
</file>